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25 19 vom 3. Juni 2025</w:t>
      </w:r>
    </w:p>
    <w:p>
      <w:r>
        <w:t>BL Gerichte, 2025-06-03, DE</w:t>
      </w:r>
    </w:p>
    <w:p>
      <w:r>
        <w:rPr>
          <w:b/>
        </w:rPr>
        <w:t xml:space="preserve">Quelle: </w:t>
      </w:r>
      <w:r>
        <w:t>https://mcp.opencaselaw.ch/entscheid/bl_gerichte_420 25 19</w:t>
      </w:r>
    </w:p>
    <w:p>
      <w:r>
        <w:t>FR: BL_GERICHTE 420 25 19 du 3 juin 2025</w:t>
      </w:r>
    </w:p>
    <w:p>
      <w:r>
        <w:t>IT: BL_GERICHTE 420 25 19 del 3 giugno 2025</w:t>
      </w:r>
    </w:p>
    <w:p>
      <w:pPr>
        <w:pStyle w:val="Heading2"/>
      </w:pPr>
      <w:r>
        <w:t>Regeste</w:t>
      </w:r>
    </w:p>
    <w:p>
      <w:r>
        <w:t>Das Betreibungsamt ist nicht verpflichtet, die Vertretungsvollmacht von Amtes wegen zu prüfen, deren Fehlen kann jedoch im Rahmen einer Beschwerde geltend gemacht werden (E. 2.1). Reicht ein vollmachtloser Vertreter ein Betreibungsbegehren ohne gültige Vollmacht oder nachträgliche Genehmigung ein, ist die Betreibung aufzuheben (E. 3.4).</w:t>
      </w:r>
    </w:p>
    <w:p>
      <w:pPr>
        <w:pStyle w:val="Heading2"/>
      </w:pPr>
      <w:r>
        <w:t>Erwägungen</w:t>
      </w:r>
    </w:p>
    <w:p>
      <w:r>
        <w:rPr>
          <w:b/>
        </w:rPr>
        <w:t>E. 1</w:t>
      </w:r>
    </w:p>
    <w:p>
      <w:r>
        <w:t>Mit Ausnahme der Fälle, in denen das Gesetz den Weg der gerichtlichen Klage vorschreibt, kann gegen jede Verfügung des Betreibungsamtes bei der Aufsichtsbehörde über Schuldbetreibung und Konkurs wegen Gesetzesverletzung oder Unangemessenheit Beschwerde innert zehn Tagen seit dem Zeitpunkt, in welchem der Beschwerdeführer von der Verfügung Kenntnis erhalten hat, geführt werden (Art. 17 Abs. 1 und 2 SchKG). Falls Nichtigkeitsgründe vorgebracht werden, welche zur Aufhebung der angefochtenen Betreibungshandlung führen könnten (Art. 22 Abs. 1 SchKG), muss hingegen keine Frist zur Geltendmachung eingehalten werden, da die Nichtigkeit von Amtes wegen festzustellen ist. Eine nichtige Verfügung hat von Anfang an keinerlei rechtliche Wirkungen, weshalb sie auch nicht formell aufgehoben werden muss, um unwirksam zu sein. Eine nichtige Verfügung kann, weil auch der Zeitablauf ihren Mangel nicht zu heilen vermag, überhaupt keine Wirkung entfalten, so dass die Nichtigkeit von sämtlichen Behörden jederzeit festgestellt werden kann (BGer 5A_272/2016 vom 4. August 2016 E. 2.4; AB SchK BL 420 23 96 vom 22. August 2023 E. 2; 420 17 358 vom 30. Januar 2018 E. 1 m.w.H.; BSK SchKG I- Cometta / Möckli , 3. Aufl., 2021, Art. 22 N 16 m.w.H.). Die Beschwerde wurde innerhalb der zehntägigen Frist erhoben und soweit der Beschwerdeführer beantragt, die Betreibung Nr. 22491106 für nichtig zu erklären, ist diese Antragstellung jederzeit möglich und zulässig. Zumal auch die weiteren Prozessvoraussetzungen erfüllt sind, ist auf die Beschwerde einzutreten. Die sachliche Zuständigkeit der Dreierkammer der Abteilung Zivilrecht des Kantonsgerichts, in ihrer Funktion als Aufsichtsbehörde Schuldbetreibung und Konkurs, zur Behandlung der Angelegenheit ergibt sich aus § 6 Abs. 1 lit. b EG SchKG. Der Grundsatz der jederzeitigen Beachtung der Nichtigkeit von Amtes wegen gilt auch im Beschwerdeverfahren nach Art. 17 ff. SchKG, zumal die Aufsichtsbehörde nach Art. 20a Abs. 2 Ziff. 2 SchKG den Sachverhalt von Amtes wegen festzustellen hat. Doch abgesehen davon, dass die Sachverhaltsermittlung unter dem Vorbehalt der Mitwirkung der Parteien steht, hat die Aufsichtsbehörde nicht so umfangreiche Nachforschungen anzustellen, wie es im Verwaltungsverfahren von der Sache her allenfalls erforderlich sein mag. Insbesondere ist die Aufsichtsbehörde nicht verpflichtet, von sich aus nach Tatsachen zu forschen, die nicht aktenkundig sind und von keiner Partei erwähnt werden (BGer 5A_84/2022 vom 6. Mai 2022 E. 2.3.2 m.w.H.; 5A_405/2017 vom 14. November 2017 E. 2.3; AB SchK BL 420 23 96 vom 22. August 2023 E. 2; BSK SchKG I- Cometta / Möckli , 3. Aufl., 2021, Art. 20a N 7). 2.1 Reicht ein Vertreter im Namen eines Gläubigers ein Betreibungsbegehren ein, so ist das Betreibungsamt nicht gehalten, das Vorliegen einer gültigen Vertretungsvollmacht von Amtes wegen zu prüfen. Der Schuldner muss jedoch auf dem Beschwerdeweg wegen mangelnder Vollmacht des Vertreters des Gläubigers die Aufhebung der Betreibung verlangen können (BGE 144 III 277 E. 3.1.1 = Pra 2019, Nr. 34). Wird das Betreibungsbegehren durch einen vollmachtlosen Vertreter eingereicht, so ist dieses im Grundsatz nur dann gültig, wenn es durch den vertretenen Gläubiger nachträglich genehmigt wird. Erfolgt eine solche Genehmigung nicht oder wird sie innert angemessener Frist nicht beigebracht, so ist die Betreibung als ungültig aufzuheben (BGer 5A_578/2007, E. 3.2; BGE 107 III 49, E. 2). Ein auf einem ungültigen Betreibungsbegehren beruhender Zahlungsbefehl ist nichtig (TC VD, BlSchK 2013, 141 ff.). 2.2 Mit Entscheid der KESB BS vom 29. September 2014 wurde über B. eine umfassende Vertretungsbeistandschaft mit Vermögensverwaltung gemäss Art. 394 Abs. 2 in Verbindung mit Art. 395 ZGB errichtet. Zum Beistand wurde A. , Advokat und Notar, ernannt. Dem Beistand wurden unter anderem die Vertretung von B. bei der Erledigung administrativer Angelegenheiten im Verkehr mit Behörden, Ämtern, Banken, Versicherungen und Dritten, die Vertretung in finanziellen Belangen sowie die sorgfältige Verwaltung ihres Einkommens und Vermögens übertragen. Gleichzeitig wurde B. gestützt auf Art. 394 Abs. 2 ZGB die Handlungsfähigkeit in Bezug auf sämtliche Konti und Depots, an denen sie wirtschaftlich berechtigt ist, entzogen. 3.3 In seiner Vernehmlassung vom 3. Februar 2025 bringt das Betreibungsamt vor, es lasse sich aus den eingereichten Akten nicht mit der erforderlichen Klarheit ableiten, ob der eingesetzte Beistand über eine ausschliessliche Vertretungsbefugnis für die Einleitung von Betreibungsverfahren verfüge. Zwar sei unbestritten, dass über die Gläubigerin eine Vertretungsbeistandschaft gemäss Art. 394 Abs. 2 i.V.m. Art. 395 ZGB errichtet worden sei. Eine ausdrückliche Einschränkung der Handlungsfähigkeit hinsichtlich Betreibungshandlungen sei jedoch aus dem Dispositiv des KESB-Entscheids vom 29. September 2014 nicht ersichtlich. Die Handlungsunfähigkeit werde dort lediglich in Bezug auf bestimmte Konti und Depots geregelt (Ziff. 2.4), während Ziff. 2.3 lit. a und b zwar Aufgaben des Beistands umschreiben, jedoch keine explizite Entziehung der Handlungsfähigkeit enthalten würden. Eine solche Einschränkung könne gemäss der Literatur nicht durch Auslegung "konstruiert" werden, sondern müsse klar und ausdrücklich im Dispositiv festgehalten sein (BSK ZGB I- Biderbost , 7. Aufl., Art. 394 N 33; Art. 395 N 23). Aufgrund dieser Unklarheiten sei aus Sicht des Betreibungsamtes nicht belegt, dass eine ausschliessliche Vertretungsvollmacht vorliege. Es bestehe weiterhin die Möglichkeit, dass eine Genehmigung der Betreibung durch die Gläubigerin oder eine nachträgliche Einreichung einer gültigen Vollmacht erfolge. Sollte ein solcher Nachweis jedoch ausbleiben, sei die Betreibung gemäss den Anträgen des Beschwerdeführers aufzuheben. 3.4 Vorliegend stellt die Aufsichtsbehörde fest, dass die Handlungsunfähigkeit von B. seit der Errichtung der Beistandschaft im Jahr 2014 unbestritten ist. Unklar bleibt jedoch, in welchem Umfang die Handlungsfähigkeit im konkreten Fall eingeschränkt wurde. Das Betreibungsamt hat zu Recht darauf hingewiesen, dass aus den verfügbaren Akten nicht klar hervorgeht, ob dem Beistand eine ausschliessliche Vertretungsbefugnis für Betreibungshandlungen übertragen wurde. Eine solche muss im Dispositiv des behördlichen Anordnungsentscheids ausdrücklich ersichtlich sein, was hier nicht der Fall ist. Dem Betreibungsamt ist daher kein pflichtwidriges Verhalten vorzuwerfen. Da der als Vertreter aufgetretene C. jedoch weder eine gültige Vollmacht noch eine Genehmigung der Betreibung durch die Gläubigerin vorlegen konnte, liegt für das konkrete Rechtsgeschäft, die Einleitung der Betreibung, keine gültige Vertretungsbefugnis vor. Dies führt zur Aufhebung der Betreibung Nr. 22491106. Aus den Anträgen des Beschwerdeführers, wonach die Nichtigkeit der Betreibung festzustellen und die Betreibung im Register zu löschen sei, lässt sich a maiore minus auch der Antrag auf deren Aufhebung ableiten. Somit hat im Ergebnis die Aufsichtsbehörde die Beschwerde gutzuheissen, mit der Anweisung an das Betreibungsamt, die Betreibung Nr. 22491106 aus dem Betreibungsregister zu löschen.</w:t>
      </w:r>
    </w:p>
    <w:p>
      <w:r>
        <w:rPr>
          <w:b/>
        </w:rPr>
        <w:t>E. 4</w:t>
      </w:r>
    </w:p>
    <w:p>
      <w:r>
        <w:t>Für das Beschwerdeverfahren werden gemäss Art. 20a Abs. 2 Ziff. 5 SchKG keine Kosten erhoben. Zudem darf im Beschwerdeverfahren nach Art. 62 Abs. 2 GebV SchKG keine Parteientschädigung zugesprochen werden, so dass jede Partei für die bei ihr entstandenen Parteikosten des Beschwerdeverfahrens aufzukommen hat (BGer 5A_471/2021 vom 3. Januar 2022 E. 4; BSK SchKG I- Cometta / Möckli , 3. Aufl., 2021, Art. 20a N 6,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